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</w:t>
      </w:r>
    </w:p>
    <w:p w14:paraId="2B37C98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8FB7058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德阳川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48"/>
          <w:szCs w:val="48"/>
        </w:rPr>
        <w:t>发龙蟒新材料有限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公司</w:t>
      </w:r>
    </w:p>
    <w:p w14:paraId="11FFD61C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公开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处置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废磺袋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告知函</w:t>
      </w:r>
    </w:p>
    <w:p w14:paraId="1EC5ACD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B8E2D9B">
      <w:pPr>
        <w:rPr>
          <w:rFonts w:hint="eastAsia" w:ascii="宋体" w:hAnsi="宋体" w:eastAsia="宋体" w:cs="宋体"/>
          <w:sz w:val="28"/>
          <w:szCs w:val="28"/>
        </w:rPr>
      </w:pPr>
    </w:p>
    <w:p w14:paraId="2878832E">
      <w:pPr>
        <w:pStyle w:val="9"/>
        <w:rPr>
          <w:rFonts w:hint="eastAsia" w:ascii="宋体" w:hAnsi="宋体" w:eastAsia="宋体" w:cs="宋体"/>
          <w:sz w:val="28"/>
          <w:szCs w:val="28"/>
        </w:rPr>
      </w:pPr>
    </w:p>
    <w:p w14:paraId="324D3675">
      <w:pPr>
        <w:pStyle w:val="10"/>
        <w:rPr>
          <w:rFonts w:hint="eastAsia" w:ascii="宋体" w:hAnsi="宋体" w:eastAsia="宋体" w:cs="宋体"/>
          <w:sz w:val="28"/>
          <w:szCs w:val="28"/>
        </w:rPr>
      </w:pPr>
    </w:p>
    <w:p w14:paraId="572EE990">
      <w:pPr>
        <w:rPr>
          <w:rFonts w:hint="eastAsia" w:ascii="宋体" w:hAnsi="宋体" w:eastAsia="宋体" w:cs="宋体"/>
          <w:sz w:val="28"/>
          <w:szCs w:val="28"/>
        </w:rPr>
      </w:pPr>
    </w:p>
    <w:p w14:paraId="3DC328F5">
      <w:pPr>
        <w:rPr>
          <w:rFonts w:hint="eastAsia" w:ascii="宋体" w:hAnsi="宋体" w:eastAsia="宋体" w:cs="宋体"/>
          <w:sz w:val="28"/>
          <w:szCs w:val="28"/>
        </w:rPr>
      </w:pPr>
    </w:p>
    <w:p w14:paraId="03070B36">
      <w:pPr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tbl>
      <w:tblPr>
        <w:tblStyle w:val="17"/>
        <w:tblpPr w:leftFromText="180" w:rightFromText="180" w:vertAnchor="text" w:horzAnchor="margin" w:tblpY="688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1701"/>
        <w:gridCol w:w="851"/>
        <w:gridCol w:w="1559"/>
        <w:gridCol w:w="1843"/>
      </w:tblGrid>
      <w:tr w14:paraId="76A2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25E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712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C0C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规格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583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668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CC8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备注</w:t>
            </w:r>
          </w:p>
        </w:tc>
      </w:tr>
      <w:tr w14:paraId="3056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FD16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B3E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废旧硫磺包装袋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26F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单重120g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BA1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528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约5万吨/年，本次处理12吨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70E6E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数量为暂估，具体以实际过磅数量为准</w:t>
            </w:r>
          </w:p>
        </w:tc>
      </w:tr>
      <w:tr w14:paraId="7FFB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97C4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B9E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废旧硫磺吨袋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0A5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单重3Kg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9788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A83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约5万吨/年，本次处理150吨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BFF3D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</w:p>
        </w:tc>
      </w:tr>
      <w:tr w14:paraId="21BD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A14C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6</w:t>
            </w:r>
          </w:p>
        </w:tc>
        <w:tc>
          <w:tcPr>
            <w:tcW w:w="595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D04F">
            <w:pPr>
              <w:widowControl/>
              <w:spacing w:line="3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竞</w:t>
            </w: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买</w:t>
            </w: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底</w:t>
            </w: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价</w:t>
            </w:r>
            <w:r>
              <w:rPr>
                <w:rFonts w:hint="eastAsia" w:ascii="宋体" w:hAnsi="宋体" w:eastAsia="宋体" w:cs="宋体"/>
                <w:b/>
                <w:bCs/>
                <w:color w:val="EE0000"/>
                <w:sz w:val="28"/>
                <w:szCs w:val="28"/>
                <w:lang w:val="en-GB"/>
              </w:rPr>
              <w:t>（单价/元）：600元/吨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E1A8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4045BFAE">
      <w:pPr>
        <w:pStyle w:val="32"/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一、处置内容</w:t>
      </w:r>
    </w:p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 w:eastAsia="宋体" w:cs="宋体"/>
          <w:sz w:val="28"/>
          <w:szCs w:val="28"/>
        </w:rPr>
        <w:t>（若为分公司，需提供总公司相应授权说明）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>
      <w:pPr>
        <w:spacing w:line="640" w:lineRule="exact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（二）资质要求：意向买受人营业执照经营范围应包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含再生资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源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回收资质。</w:t>
      </w:r>
    </w:p>
    <w:p w14:paraId="2359BDF9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</w:t>
      </w:r>
      <w:r>
        <w:rPr>
          <w:rFonts w:hint="eastAsia" w:ascii="宋体" w:hAnsi="宋体" w:eastAsia="宋体" w:cs="宋体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2023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三、限价要求</w:t>
      </w:r>
    </w:p>
    <w:p w14:paraId="5C07E3D0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本次最低限价见处置内容表中，低于限价的报价视为无效报价。</w:t>
      </w:r>
    </w:p>
    <w:p w14:paraId="594AE9A0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本次采用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单项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单价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最高/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总价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最高中标。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 xml:space="preserve">公开竞价方式 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电话报名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参与项目，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密封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时间截止后，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现场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符合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资格审查的意向买受人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单项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单价/总价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由高到低排序，前三名进入第二轮报价。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处置评审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结束后，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处置评审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通过后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将结果通知中选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2A8DBA43">
      <w:pPr>
        <w:pStyle w:val="9"/>
        <w:spacing w:after="0"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</w:t>
      </w:r>
      <w:bookmarkStart w:id="0" w:name="_Hlk164062858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处置申请</w:t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5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29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09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30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文件递交及公开评审地点：德阳阿坝经济产业园区（德阳川发龙蟒新材料有限公司）（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若允许邮寄递交的，应在此处说明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5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28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9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1" w:name="_Toc15116"/>
      <w:r>
        <w:rPr>
          <w:rFonts w:hint="eastAsia" w:ascii="宋体" w:hAnsi="宋体" w:eastAsia="宋体" w:cs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218C4742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0C9ADDE2">
      <w:pPr>
        <w:pStyle w:val="2"/>
        <w:spacing w:before="0" w:after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3、本次竞标为全年框架。</w:t>
      </w:r>
    </w:p>
    <w:p w14:paraId="1D966993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处置</w:t>
      </w:r>
      <w:r>
        <w:rPr>
          <w:rFonts w:hint="eastAsia" w:ascii="宋体" w:hAnsi="宋体" w:eastAsia="宋体" w:cs="宋体"/>
          <w:sz w:val="28"/>
          <w:szCs w:val="28"/>
        </w:rPr>
        <w:t>联系人</w:t>
      </w:r>
    </w:p>
    <w:p w14:paraId="2E5CE187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</w:rPr>
        <w:t>郭成明</w:t>
      </w:r>
    </w:p>
    <w:p w14:paraId="3C44C991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>13990251829</w:t>
      </w:r>
    </w:p>
    <w:p w14:paraId="35F58B21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>德阳阿坝经济产业园区（德阳川发龙蟒新材料有限公司）</w:t>
      </w:r>
    </w:p>
    <w:p w14:paraId="6EAD1E81">
      <w:pPr>
        <w:spacing w:line="640" w:lineRule="exact"/>
        <w:ind w:right="37"/>
        <w:jc w:val="righ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德阳川发龙蟒新材料有限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公司</w:t>
      </w:r>
    </w:p>
    <w:p w14:paraId="02783440">
      <w:pPr>
        <w:spacing w:line="640" w:lineRule="exact"/>
        <w:ind w:right="112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5879389D"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</w:p>
    <w:p w14:paraId="66DFCE6D">
      <w:pPr>
        <w:pStyle w:val="3"/>
        <w:rPr>
          <w:rFonts w:hint="eastAsia" w:ascii="宋体" w:hAnsi="宋体" w:eastAsia="宋体" w:cs="宋体"/>
        </w:rPr>
      </w:pPr>
    </w:p>
    <w:p w14:paraId="37695CEA">
      <w:pPr>
        <w:pStyle w:val="3"/>
        <w:rPr>
          <w:rFonts w:hint="eastAsia" w:ascii="宋体" w:hAnsi="宋体" w:eastAsia="宋体" w:cs="宋体"/>
        </w:rPr>
      </w:pPr>
    </w:p>
    <w:p w14:paraId="1785E490">
      <w:pPr>
        <w:pStyle w:val="3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八、合同主要条款（以签订的正式文本为准）</w:t>
      </w:r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368B1773-C9B0-4580-8D90-981170D534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4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1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774F1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475CD"/>
    <w:rsid w:val="00151175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1F5F7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06A"/>
    <w:rsid w:val="00473FEE"/>
    <w:rsid w:val="00477960"/>
    <w:rsid w:val="00482F9E"/>
    <w:rsid w:val="0048363D"/>
    <w:rsid w:val="00483B44"/>
    <w:rsid w:val="00492A89"/>
    <w:rsid w:val="004957E3"/>
    <w:rsid w:val="00496C7B"/>
    <w:rsid w:val="00497C8E"/>
    <w:rsid w:val="004A2EA5"/>
    <w:rsid w:val="004B7240"/>
    <w:rsid w:val="004B7BC3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3174"/>
    <w:rsid w:val="0056547D"/>
    <w:rsid w:val="0056772C"/>
    <w:rsid w:val="00584442"/>
    <w:rsid w:val="0058467F"/>
    <w:rsid w:val="005A2915"/>
    <w:rsid w:val="005A5A42"/>
    <w:rsid w:val="005A7448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137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5EF3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9F7E13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32687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54B1D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217"/>
    <w:rsid w:val="00E309AF"/>
    <w:rsid w:val="00E34871"/>
    <w:rsid w:val="00E467DD"/>
    <w:rsid w:val="00E54B86"/>
    <w:rsid w:val="00E61714"/>
    <w:rsid w:val="00E6226C"/>
    <w:rsid w:val="00E656B2"/>
    <w:rsid w:val="00E66021"/>
    <w:rsid w:val="00E6651B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4C02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1FE6D89"/>
    <w:rsid w:val="22133D3F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7F4B80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22379DD"/>
    <w:rsid w:val="622E56C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semiHidden="0" w:name="Document Map" w:locked="1"/>
    <w:lsdException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5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6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7">
    <w:name w:val="Document Map"/>
    <w:basedOn w:val="1"/>
    <w:link w:val="23"/>
    <w:unhideWhenUsed/>
    <w:locked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25"/>
    <w:uiPriority w:val="99"/>
    <w:pPr>
      <w:jc w:val="left"/>
    </w:pPr>
    <w:rPr>
      <w:rFonts w:ascii="Times New Roman" w:hAnsi="Times New Roman"/>
      <w:sz w:val="22"/>
    </w:rPr>
  </w:style>
  <w:style w:type="paragraph" w:styleId="9">
    <w:name w:val="Body Text"/>
    <w:basedOn w:val="1"/>
    <w:next w:val="10"/>
    <w:qFormat/>
    <w:locked/>
    <w:uiPriority w:val="0"/>
    <w:pPr>
      <w:spacing w:after="120"/>
    </w:pPr>
  </w:style>
  <w:style w:type="paragraph" w:styleId="10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Plain Text"/>
    <w:basedOn w:val="1"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2"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8"/>
    <w:next w:val="8"/>
    <w:link w:val="24"/>
    <w:uiPriority w:val="99"/>
    <w:rPr>
      <w:b/>
      <w:bCs/>
    </w:rPr>
  </w:style>
  <w:style w:type="character" w:styleId="19">
    <w:name w:val="annotation reference"/>
    <w:uiPriority w:val="99"/>
    <w:rPr>
      <w:rFonts w:cs="Times New Roman"/>
      <w:sz w:val="21"/>
      <w:szCs w:val="21"/>
    </w:rPr>
  </w:style>
  <w:style w:type="character" w:customStyle="1" w:styleId="20">
    <w:name w:val="页脚 字符"/>
    <w:link w:val="14"/>
    <w:locked/>
    <w:uiPriority w:val="99"/>
    <w:rPr>
      <w:rFonts w:cs="Times New Roman"/>
      <w:sz w:val="18"/>
      <w:szCs w:val="18"/>
    </w:rPr>
  </w:style>
  <w:style w:type="character" w:customStyle="1" w:styleId="21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字符"/>
    <w:link w:val="1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文档结构图 字符"/>
    <w:link w:val="7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24">
    <w:name w:val="批注主题 字符"/>
    <w:link w:val="16"/>
    <w:semiHidden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5">
    <w:name w:val="批注文字 字符"/>
    <w:link w:val="8"/>
    <w:locked/>
    <w:uiPriority w:val="99"/>
    <w:rPr>
      <w:rFonts w:cs="Times New Roman"/>
      <w:kern w:val="2"/>
      <w:sz w:val="22"/>
      <w:szCs w:val="22"/>
    </w:rPr>
  </w:style>
  <w:style w:type="character" w:customStyle="1" w:styleId="26">
    <w:name w:val="页眉 字符"/>
    <w:link w:val="15"/>
    <w:locked/>
    <w:uiPriority w:val="99"/>
    <w:rPr>
      <w:rFonts w:cs="Times New Roman"/>
      <w:sz w:val="18"/>
      <w:szCs w:val="18"/>
    </w:rPr>
  </w:style>
  <w:style w:type="paragraph" w:customStyle="1" w:styleId="27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28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1591</Words>
  <Characters>1633</Characters>
  <Lines>68</Lines>
  <Paragraphs>68</Paragraphs>
  <TotalTime>172</TotalTime>
  <ScaleCrop>false</ScaleCrop>
  <LinksUpToDate>false</LinksUpToDate>
  <CharactersWithSpaces>1681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2026-05-25T06:52:33Z</dcterms:modified>
  <dc:title>四川发展xxxxx公司关于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eyJoZGlkIjoiYjViOTdkOGRkMTYyZDU4ZTdjMDk3ZGYyOGJjY2U3YTEiLCJ1c2VySWQiOiIxNjM4ODA5MTkwIn0=</vt:lpwstr>
  </property>
</Properties>
</file>