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242">
      <w:pPr>
        <w:jc w:val="right"/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</w:pPr>
      <w:r>
        <w:rPr>
          <w:rFonts w:ascii="宋体" w:hAnsi="宋体"/>
          <w:bCs/>
          <w:sz w:val="28"/>
          <w:szCs w:val="28"/>
        </w:rPr>
        <w:t xml:space="preserve">   </w:t>
      </w:r>
    </w:p>
    <w:p w14:paraId="2B37C98A">
      <w:pPr>
        <w:jc w:val="center"/>
        <w:rPr>
          <w:rFonts w:hint="eastAsia" w:ascii="宋体" w:hAnsi="宋体"/>
          <w:b/>
          <w:sz w:val="28"/>
          <w:szCs w:val="28"/>
        </w:rPr>
      </w:pPr>
    </w:p>
    <w:p w14:paraId="163B8BA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5684076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B7D9F5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6D56E0D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8FB7058">
      <w:pPr>
        <w:rPr>
          <w:rFonts w:hint="eastAsia" w:ascii="宋体" w:hAnsi="宋体"/>
          <w:b/>
          <w:sz w:val="28"/>
          <w:szCs w:val="28"/>
        </w:rPr>
      </w:pPr>
    </w:p>
    <w:p w14:paraId="21119F4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C1879A7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攀枝花</w:t>
      </w:r>
      <w:r>
        <w:rPr>
          <w:rFonts w:hint="eastAsia" w:ascii="宋体" w:hAnsi="宋体"/>
          <w:b/>
          <w:bCs/>
          <w:sz w:val="48"/>
          <w:szCs w:val="48"/>
        </w:rPr>
        <w:t>川发龙蟒新材料有限</w:t>
      </w:r>
      <w:r>
        <w:rPr>
          <w:rFonts w:ascii="宋体" w:hAnsi="宋体"/>
          <w:b/>
          <w:bCs/>
          <w:sz w:val="48"/>
          <w:szCs w:val="48"/>
        </w:rPr>
        <w:t>公司</w:t>
      </w:r>
    </w:p>
    <w:p w14:paraId="69C3DE93">
      <w:pPr>
        <w:spacing w:line="640" w:lineRule="exact"/>
        <w:jc w:val="center"/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48"/>
          <w:szCs w:val="48"/>
        </w:rPr>
        <w:t>关于</w:t>
      </w:r>
      <w:r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  <w:t>CFLM-FJXS-202</w:t>
      </w:r>
      <w:r>
        <w:rPr>
          <w:rFonts w:hint="eastAsia" w:ascii="宋体" w:hAnsi="宋体" w:cs="Times New Roman"/>
          <w:b/>
          <w:bCs/>
          <w:sz w:val="48"/>
          <w:szCs w:val="48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  <w:t>-00</w:t>
      </w:r>
      <w:r>
        <w:rPr>
          <w:rFonts w:hint="eastAsia" w:ascii="宋体" w:hAnsi="宋体" w:cs="Times New Roman"/>
          <w:b/>
          <w:bCs/>
          <w:sz w:val="48"/>
          <w:szCs w:val="48"/>
          <w:lang w:val="en-US" w:eastAsia="zh-CN"/>
        </w:rPr>
        <w:t>2</w:t>
      </w:r>
    </w:p>
    <w:p w14:paraId="11FFD61C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sz w:val="48"/>
          <w:szCs w:val="48"/>
          <w:lang w:val="en-US" w:eastAsia="zh-CN"/>
        </w:rPr>
        <w:t>危险废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物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1EC5ACDE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20857912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B8278C3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175FA6C9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4B8E2D9B">
      <w:pPr>
        <w:rPr>
          <w:rFonts w:hint="eastAsia" w:ascii="宋体" w:hAnsi="宋体"/>
          <w:sz w:val="28"/>
          <w:szCs w:val="28"/>
        </w:rPr>
      </w:pPr>
    </w:p>
    <w:p w14:paraId="2878832E">
      <w:pPr>
        <w:pStyle w:val="7"/>
        <w:rPr>
          <w:rFonts w:hint="eastAsia" w:ascii="宋体" w:hAnsi="宋体"/>
          <w:sz w:val="28"/>
          <w:szCs w:val="28"/>
        </w:rPr>
      </w:pPr>
    </w:p>
    <w:p w14:paraId="324D3675">
      <w:pPr>
        <w:pStyle w:val="8"/>
        <w:rPr>
          <w:rFonts w:hint="eastAsia" w:ascii="宋体" w:hAnsi="宋体"/>
          <w:sz w:val="28"/>
          <w:szCs w:val="28"/>
        </w:rPr>
      </w:pPr>
    </w:p>
    <w:p w14:paraId="572EE990">
      <w:pPr>
        <w:rPr>
          <w:rFonts w:hint="eastAsia" w:ascii="宋体" w:hAnsi="宋体"/>
          <w:sz w:val="28"/>
          <w:szCs w:val="28"/>
        </w:rPr>
      </w:pPr>
    </w:p>
    <w:p w14:paraId="3DC328F5">
      <w:pPr>
        <w:rPr>
          <w:rFonts w:hint="eastAsia" w:ascii="宋体" w:hAnsi="宋体"/>
          <w:sz w:val="28"/>
          <w:szCs w:val="28"/>
        </w:rPr>
      </w:pPr>
    </w:p>
    <w:p w14:paraId="4045BFAE">
      <w:pPr>
        <w:pStyle w:val="35"/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一、处置内容</w:t>
      </w:r>
    </w:p>
    <w:tbl>
      <w:tblPr>
        <w:tblStyle w:val="18"/>
        <w:tblpPr w:leftFromText="180" w:rightFromText="180" w:vertAnchor="text" w:horzAnchor="margin" w:tblpXSpec="center" w:tblpY="90"/>
        <w:tblOverlap w:val="never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022"/>
        <w:gridCol w:w="2163"/>
        <w:gridCol w:w="835"/>
        <w:gridCol w:w="991"/>
        <w:gridCol w:w="2073"/>
      </w:tblGrid>
      <w:tr w14:paraId="63D2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C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9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规格型号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2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2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竞买含税底价</w:t>
            </w:r>
          </w:p>
          <w:p w14:paraId="0353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（单价/元）</w:t>
            </w:r>
          </w:p>
        </w:tc>
      </w:tr>
      <w:tr w14:paraId="0212F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3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6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实验室废液及其包装空桶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85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HW49 900-047-49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7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2.0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5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-4000.00</w:t>
            </w:r>
          </w:p>
        </w:tc>
      </w:tr>
      <w:tr w14:paraId="7D98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F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4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净化过程产生的活性炭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EE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HW49 </w:t>
            </w:r>
          </w:p>
          <w:p w14:paraId="10CE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900-039-49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27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B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3.5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-1800.00</w:t>
            </w:r>
          </w:p>
        </w:tc>
      </w:tr>
      <w:tr w14:paraId="3A42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80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1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沾染化学品的包装材料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81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HW49</w:t>
            </w:r>
          </w:p>
          <w:p w14:paraId="3263C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900-041-49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C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0.5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-1800.00</w:t>
            </w:r>
          </w:p>
        </w:tc>
      </w:tr>
      <w:tr w14:paraId="7F77E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4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B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沾染矿物油的废弃包装物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7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HW08</w:t>
            </w:r>
          </w:p>
          <w:p w14:paraId="34DE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900-249-08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0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0.05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9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-1800.00</w:t>
            </w:r>
          </w:p>
        </w:tc>
      </w:tr>
      <w:tr w14:paraId="116D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BB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66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废机油、废齿轮油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2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HW08</w:t>
            </w:r>
          </w:p>
          <w:p w14:paraId="495E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900-214-08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7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2.4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3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/</w:t>
            </w:r>
          </w:p>
        </w:tc>
      </w:tr>
      <w:tr w14:paraId="1446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AC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D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过期化学品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CF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HW49</w:t>
            </w:r>
          </w:p>
          <w:p w14:paraId="7EF6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900-999-49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0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D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0.05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9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-1800.00</w:t>
            </w:r>
          </w:p>
        </w:tc>
      </w:tr>
      <w:tr w14:paraId="5D83D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1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1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6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F9C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以上数量为预估数量，以实际产生数量为准；</w:t>
            </w:r>
          </w:p>
          <w:p w14:paraId="4195CF4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报价不能超过以上竞买含税低价；</w:t>
            </w:r>
          </w:p>
          <w:p w14:paraId="3275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3、以上危废物资需发标单位付费处置的报价应为负数；需向发标单位付费的报价应为正数。</w:t>
            </w:r>
          </w:p>
        </w:tc>
      </w:tr>
    </w:tbl>
    <w:p w14:paraId="0BD2C813">
      <w:pPr>
        <w:pStyle w:val="35"/>
        <w:spacing w:line="64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328089EB">
      <w:pPr>
        <w:numPr>
          <w:ilvl w:val="0"/>
          <w:numId w:val="4"/>
        </w:num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资格要求及证明材料</w:t>
      </w:r>
    </w:p>
    <w:p w14:paraId="0837DA2F">
      <w:pPr>
        <w:spacing w:line="6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须在中华人民共和国境内注册，具备独立承担民事责任的能力</w:t>
      </w:r>
      <w:r>
        <w:rPr>
          <w:rFonts w:hint="eastAsia" w:ascii="宋体" w:hAnsi="宋体"/>
          <w:sz w:val="28"/>
          <w:szCs w:val="28"/>
        </w:rPr>
        <w:t>（若为分公司，需提供总公司相应授权说明）</w:t>
      </w:r>
      <w:r>
        <w:rPr>
          <w:rFonts w:ascii="宋体" w:hAnsi="宋体"/>
          <w:sz w:val="28"/>
          <w:szCs w:val="28"/>
        </w:rPr>
        <w:t>；</w:t>
      </w:r>
    </w:p>
    <w:p w14:paraId="61BA006F">
      <w:pPr>
        <w:widowControl/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BD6D90A">
      <w:pPr>
        <w:widowControl/>
        <w:numPr>
          <w:ilvl w:val="0"/>
          <w:numId w:val="5"/>
        </w:numPr>
        <w:spacing w:line="240" w:lineRule="auto"/>
        <w:ind w:firstLine="560" w:firstLineChars="200"/>
        <w:jc w:val="left"/>
        <w:textAlignment w:val="center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资质</w:t>
      </w:r>
      <w:r>
        <w:rPr>
          <w:rFonts w:hint="eastAsia" w:ascii="宋体" w:hAnsi="宋体" w:eastAsia="宋体" w:cs="Times New Roman"/>
          <w:sz w:val="28"/>
          <w:szCs w:val="28"/>
        </w:rPr>
        <w:t>要求：参选单位营业执照经营范围应包含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相应的危险废物经营或者拥有相应的危险废物经营许可证。</w:t>
      </w:r>
    </w:p>
    <w:p w14:paraId="2359BDF9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（三）意向买受人</w:t>
      </w:r>
      <w:r>
        <w:rPr>
          <w:rFonts w:hint="eastAsia" w:ascii="宋体" w:hAnsi="宋体" w:cs="___WRD_EMBED_SUB_46"/>
          <w:sz w:val="28"/>
          <w:szCs w:val="28"/>
        </w:rPr>
        <w:t>须承诺的事项：</w:t>
      </w:r>
    </w:p>
    <w:p w14:paraId="661C99C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1、具有良好的商业信誉，近一年内（202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1月1日起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2、财务状况：具有良好的财务状况和支付能力，受让资金来源合法；</w:t>
      </w:r>
    </w:p>
    <w:p w14:paraId="6EBAD2AB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1030ED06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4、未组成联合体参选；</w:t>
      </w:r>
    </w:p>
    <w:p w14:paraId="24B295FE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>
      <w:pPr>
        <w:spacing w:line="640" w:lineRule="exact"/>
        <w:ind w:firstLine="560" w:firstLineChars="200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三、限价要求</w:t>
      </w:r>
    </w:p>
    <w:p w14:paraId="63BD60F6">
      <w:pPr>
        <w:spacing w:line="640" w:lineRule="exact"/>
        <w:ind w:firstLine="560" w:firstLineChars="200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本次最低限价见处置内容</w:t>
      </w:r>
    </w:p>
    <w:p w14:paraId="594AE9A0">
      <w:pPr>
        <w:numPr>
          <w:ilvl w:val="0"/>
          <w:numId w:val="4"/>
        </w:numPr>
        <w:spacing w:line="640" w:lineRule="exact"/>
        <w:ind w:left="0" w:leftChars="0" w:firstLine="560" w:firstLineChars="200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中标规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则：总价最高价者中选。</w:t>
      </w:r>
    </w:p>
    <w:p w14:paraId="4FFBA151">
      <w:pPr>
        <w:widowControl/>
        <w:spacing w:line="640" w:lineRule="exact"/>
        <w:ind w:firstLine="560" w:firstLineChars="200"/>
        <w:jc w:val="left"/>
        <w:outlineLvl w:val="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、处置程序</w:t>
      </w:r>
    </w:p>
    <w:p w14:paraId="5D5F5040">
      <w:pPr>
        <w:spacing w:line="640" w:lineRule="exact"/>
        <w:ind w:firstLine="562" w:firstLineChars="200"/>
        <w:jc w:val="left"/>
        <w:rPr>
          <w:rFonts w:hint="eastAsia" w:ascii="宋体" w:hAnsi="宋体" w:cs="仿宋"/>
          <w:b/>
          <w:bCs/>
          <w:color w:val="FF0000"/>
          <w:sz w:val="28"/>
          <w:szCs w:val="28"/>
        </w:rPr>
      </w:pP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 xml:space="preserve">本次采用 </w:t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sym w:font="Wingdings 2" w:char="0052"/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>其它公开处置方式，具体程序如下：</w:t>
      </w:r>
    </w:p>
    <w:p w14:paraId="58C2E469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（一）各意向买受人通过</w:t>
      </w:r>
      <w:r>
        <w:rPr>
          <w:rFonts w:hint="eastAsia" w:ascii="宋体" w:hAnsi="宋体"/>
          <w:color w:val="000000"/>
          <w:sz w:val="28"/>
          <w:szCs w:val="28"/>
        </w:rPr>
        <w:t>电话报名</w:t>
      </w:r>
      <w:r>
        <w:rPr>
          <w:rFonts w:ascii="宋体" w:hAnsi="宋体"/>
          <w:color w:val="000000"/>
          <w:sz w:val="28"/>
          <w:szCs w:val="28"/>
        </w:rPr>
        <w:t>参与项目，</w:t>
      </w:r>
      <w:r>
        <w:rPr>
          <w:rFonts w:hint="eastAsia" w:ascii="宋体" w:hAnsi="宋体"/>
          <w:color w:val="000000"/>
          <w:sz w:val="28"/>
          <w:szCs w:val="28"/>
        </w:rPr>
        <w:t>密封</w:t>
      </w:r>
      <w:r>
        <w:rPr>
          <w:rFonts w:ascii="宋体" w:hAnsi="宋体"/>
          <w:color w:val="000000"/>
          <w:sz w:val="28"/>
          <w:szCs w:val="28"/>
        </w:rPr>
        <w:t>递交响应文件；</w:t>
      </w:r>
    </w:p>
    <w:p w14:paraId="47C175D2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（二）</w:t>
      </w:r>
      <w:r>
        <w:rPr>
          <w:rFonts w:hint="eastAsia" w:ascii="宋体" w:hAnsi="宋体"/>
          <w:color w:val="000000"/>
          <w:sz w:val="28"/>
          <w:szCs w:val="28"/>
        </w:rPr>
        <w:t>递交响应文件</w:t>
      </w:r>
      <w:r>
        <w:rPr>
          <w:rFonts w:ascii="宋体" w:hAnsi="宋体"/>
          <w:color w:val="000000"/>
          <w:sz w:val="28"/>
          <w:szCs w:val="28"/>
        </w:rPr>
        <w:t>时间截止后，</w:t>
      </w:r>
      <w:r>
        <w:rPr>
          <w:rFonts w:hint="eastAsia" w:ascii="宋体" w:hAnsi="宋体"/>
          <w:color w:val="000000"/>
          <w:sz w:val="28"/>
          <w:szCs w:val="28"/>
        </w:rPr>
        <w:t>处置</w:t>
      </w:r>
      <w:r>
        <w:rPr>
          <w:rFonts w:ascii="宋体" w:hAnsi="宋体"/>
          <w:color w:val="000000"/>
          <w:sz w:val="28"/>
          <w:szCs w:val="28"/>
        </w:rPr>
        <w:t>人</w:t>
      </w:r>
      <w:r>
        <w:rPr>
          <w:rFonts w:hint="eastAsia" w:ascii="宋体" w:hAnsi="宋体"/>
          <w:color w:val="000000"/>
          <w:sz w:val="28"/>
          <w:szCs w:val="28"/>
        </w:rPr>
        <w:t>现场</w:t>
      </w:r>
      <w:r>
        <w:rPr>
          <w:rFonts w:ascii="宋体" w:hAnsi="宋体"/>
          <w:color w:val="000000"/>
          <w:sz w:val="28"/>
          <w:szCs w:val="28"/>
        </w:rPr>
        <w:t>公布报价；</w:t>
      </w:r>
    </w:p>
    <w:p w14:paraId="63D1E5C9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（三）评审委员会对意向买受人进行资格审查；</w:t>
      </w:r>
    </w:p>
    <w:p w14:paraId="4B6F59D4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（四）开标、竞价方式： </w:t>
      </w:r>
    </w:p>
    <w:p w14:paraId="33607343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① 若征集到的意向买受人≥3 家，则对按意向买受人按总价由高到 低排序，前三名进入第二轮电话报价，后一轮报价不得低于其对该项目前 一轮的报价;如第二轮报价最高的价格相同，则进行第三轮电话磋商，价 格仍相同，则抽签决定中选人; </w:t>
      </w:r>
    </w:p>
    <w:p w14:paraId="39E4CB37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② 若征集到的意向买受人为两家时，则两家意向买受人全部直接进 入第二轮电话报价，如第二轮报价最高的价格相同，则进行第三轮电话磋 商，价格仍相同，则抽签决定中选人; </w:t>
      </w:r>
    </w:p>
    <w:p w14:paraId="127D75FB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③ 处置的废旧物资参与报价仅有 1 家，直接进入第二轮电话报价， </w:t>
      </w:r>
    </w:p>
    <w:p w14:paraId="0773E22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并进行电话磋商，由最终磋商价格(≥第二轮电话报价)与受让方直接签订 </w:t>
      </w:r>
    </w:p>
    <w:p w14:paraId="7FAB438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转让协议。 </w:t>
      </w:r>
    </w:p>
    <w:p w14:paraId="6A61A86D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（五）处置评审结束后，处置人将处置评审结果报公司内部决策，通 </w:t>
      </w:r>
    </w:p>
    <w:p w14:paraId="319AB92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过后将结果通知中选人，双方择日签订正式协议。</w:t>
      </w:r>
    </w:p>
    <w:p w14:paraId="2A8DBA43">
      <w:pPr>
        <w:pStyle w:val="7"/>
        <w:spacing w:after="0" w:line="640" w:lineRule="exact"/>
        <w:ind w:firstLine="560" w:firstLineChars="20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五、</w:t>
      </w:r>
      <w:bookmarkStart w:id="0" w:name="_Hlk164062858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处置申请</w:t>
      </w:r>
      <w:bookmarkEnd w:id="0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材料提交</w:t>
      </w:r>
    </w:p>
    <w:p w14:paraId="1A2F5CEE">
      <w:pPr>
        <w:spacing w:line="640" w:lineRule="exact"/>
        <w:ind w:firstLine="280" w:firstLineChars="100"/>
        <w:jc w:val="left"/>
        <w:rPr>
          <w:rFonts w:hint="eastAsia" w:ascii="宋体" w:hAnsi="宋体"/>
          <w:bCs/>
          <w:color w:val="000000"/>
          <w:sz w:val="28"/>
          <w:szCs w:val="28"/>
          <w:highlight w:val="red"/>
        </w:rPr>
      </w:pPr>
      <w:r>
        <w:rPr>
          <w:rFonts w:hint="eastAsia" w:ascii="宋体" w:hAnsi="宋体"/>
          <w:color w:val="000000"/>
          <w:sz w:val="28"/>
          <w:szCs w:val="28"/>
        </w:rPr>
        <w:t>（一）处置申请文件递交截止时间及公开评审开始时间均为</w:t>
      </w:r>
      <w:r>
        <w:rPr>
          <w:rFonts w:hint="eastAsia" w:ascii="宋体" w:hAnsi="宋体"/>
          <w:bCs/>
          <w:color w:val="FF0000"/>
          <w:sz w:val="28"/>
          <w:szCs w:val="28"/>
        </w:rPr>
        <w:t>202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6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5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19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00</w:t>
      </w:r>
      <w:r>
        <w:rPr>
          <w:rFonts w:hint="eastAsia" w:ascii="宋体" w:hAnsi="宋体"/>
          <w:color w:val="FF0000"/>
          <w:sz w:val="28"/>
          <w:szCs w:val="28"/>
        </w:rPr>
        <w:t>分（北京时间）</w:t>
      </w:r>
      <w:r>
        <w:rPr>
          <w:rFonts w:hint="eastAsia" w:ascii="宋体" w:hAnsi="宋体" w:cs="仿宋"/>
          <w:color w:val="000000"/>
          <w:sz w:val="28"/>
          <w:szCs w:val="28"/>
        </w:rPr>
        <w:t>；</w:t>
      </w:r>
    </w:p>
    <w:p w14:paraId="260CDFF8">
      <w:pPr>
        <w:spacing w:line="640" w:lineRule="exact"/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（二）处置申请文件递交方式</w:t>
      </w:r>
    </w:p>
    <w:p w14:paraId="56F8E7D6">
      <w:pPr>
        <w:widowControl/>
        <w:spacing w:line="64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本次文件递交方式采用线下递交，具体如下：</w:t>
      </w:r>
    </w:p>
    <w:p w14:paraId="0CA4C8E8">
      <w:pPr>
        <w:widowControl/>
        <w:spacing w:line="640" w:lineRule="exac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文件递交及公开评审地点：</w:t>
      </w:r>
      <w:r>
        <w:rPr>
          <w:rFonts w:hint="eastAsia" w:ascii="宋体" w:hAnsi="宋体"/>
          <w:sz w:val="28"/>
          <w:szCs w:val="28"/>
          <w:lang w:val="en-US" w:eastAsia="zh-CN"/>
        </w:rPr>
        <w:t>四川省攀枝花市仁和区钒钛西路238号攀枝花</w:t>
      </w:r>
      <w:r>
        <w:rPr>
          <w:rFonts w:hint="eastAsia" w:ascii="宋体" w:hAnsi="宋体"/>
          <w:sz w:val="28"/>
          <w:szCs w:val="28"/>
        </w:rPr>
        <w:t>川发龙蟒新材料有限公司</w:t>
      </w:r>
      <w:r>
        <w:rPr>
          <w:rFonts w:hint="eastAsia" w:ascii="宋体" w:hAnsi="宋体"/>
          <w:sz w:val="28"/>
          <w:szCs w:val="28"/>
          <w:lang w:val="en-US" w:eastAsia="zh-CN"/>
        </w:rPr>
        <w:t>综合楼214办公室 苏威收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shd w:val="clear" w:color="auto" w:fill="FFFFFF"/>
          <w:lang w:val="en-US" w:eastAsia="zh-CN"/>
        </w:rPr>
        <w:t>15198146217</w:t>
      </w:r>
      <w:r>
        <w:rPr>
          <w:rFonts w:hint="eastAsia" w:ascii="宋体" w:hAnsi="宋体" w:eastAsia="宋体" w:cs="Times New Roman"/>
          <w:sz w:val="28"/>
          <w:szCs w:val="28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如邮寄，请选用顺丰快递</w:t>
      </w:r>
      <w:r>
        <w:rPr>
          <w:rFonts w:hint="eastAsia" w:ascii="宋体" w:hAnsi="宋体" w:eastAsia="宋体" w:cs="Times New Roman"/>
          <w:sz w:val="28"/>
          <w:szCs w:val="28"/>
        </w:rPr>
        <w:t>）</w:t>
      </w:r>
    </w:p>
    <w:p w14:paraId="2767A7E1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六、澄清及修改</w:t>
      </w:r>
    </w:p>
    <w:p w14:paraId="4EA0304A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726960A5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/>
          <w:color w:val="FF0000"/>
          <w:sz w:val="28"/>
          <w:szCs w:val="28"/>
        </w:rPr>
        <w:t>截止时间</w:t>
      </w:r>
      <w:r>
        <w:rPr>
          <w:rFonts w:hint="eastAsia" w:ascii="宋体" w:hAnsi="宋体"/>
          <w:bCs/>
          <w:color w:val="FF0000"/>
          <w:sz w:val="28"/>
          <w:szCs w:val="28"/>
        </w:rPr>
        <w:t>202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6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5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18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color w:val="000000"/>
          <w:sz w:val="28"/>
          <w:szCs w:val="28"/>
        </w:rPr>
        <w:t>），但处置人可决定是否采纳申请事项。</w:t>
      </w:r>
    </w:p>
    <w:p w14:paraId="4FBAA950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七、其他</w:t>
      </w:r>
    </w:p>
    <w:p w14:paraId="145F5868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bookmarkStart w:id="1" w:name="_Toc15116"/>
      <w:r>
        <w:rPr>
          <w:rFonts w:hint="eastAsia" w:ascii="宋体" w:hAnsi="宋体"/>
          <w:color w:val="000000"/>
          <w:sz w:val="28"/>
          <w:szCs w:val="28"/>
        </w:rPr>
        <w:t>1、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报价有效期一年，有效期内价格不做调整；</w:t>
      </w:r>
    </w:p>
    <w:p w14:paraId="32B173BD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2、中选人应在中选通知书发出之日起七日内与处置人签订处置合同。 </w:t>
      </w:r>
    </w:p>
    <w:p w14:paraId="6226E90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因中选人原因造成逾期未与处置人签订处置合同的，视为自动放弃，不退 </w:t>
      </w:r>
    </w:p>
    <w:p w14:paraId="7517280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还处置保证金； </w:t>
      </w:r>
    </w:p>
    <w:p w14:paraId="118D0076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3、中选人未在合同约定时间内支付处置货款或未在合同约定时间内 </w:t>
      </w:r>
    </w:p>
    <w:p w14:paraId="0202B0D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进场执行处置的，视为主动放弃，不退还处置保证金； </w:t>
      </w:r>
    </w:p>
    <w:p w14:paraId="5D664458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4、中选人因不可抗力原因不能履行处置合同，可退还处置保证金； </w:t>
      </w:r>
    </w:p>
    <w:p w14:paraId="59A566A2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5、若出现以上情况，处置人可依序与其他中选候选人签订处置合同， </w:t>
      </w:r>
    </w:p>
    <w:p w14:paraId="21F999F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也可以重新组织处置工作。</w:t>
      </w:r>
    </w:p>
    <w:p w14:paraId="1D966993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处置</w:t>
      </w:r>
      <w:r>
        <w:rPr>
          <w:rFonts w:ascii="宋体" w:hAnsi="宋体"/>
          <w:sz w:val="28"/>
          <w:szCs w:val="28"/>
        </w:rPr>
        <w:t>联系人</w:t>
      </w:r>
    </w:p>
    <w:p w14:paraId="100DF8F1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苏先生</w:t>
      </w:r>
    </w:p>
    <w:p w14:paraId="5879389D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15198146217</w:t>
      </w:r>
    </w:p>
    <w:p w14:paraId="28438402">
      <w:pPr>
        <w:spacing w:line="640" w:lineRule="exact"/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lang w:val="en-US" w:eastAsia="zh-CN"/>
        </w:rPr>
        <w:t>四川省攀枝花市仁和区钒钛西路238号攀枝花</w:t>
      </w:r>
      <w:r>
        <w:rPr>
          <w:rFonts w:hint="eastAsia" w:ascii="宋体" w:hAnsi="宋体"/>
          <w:sz w:val="28"/>
          <w:szCs w:val="28"/>
        </w:rPr>
        <w:t>川发龙蟒新材料有限公司</w:t>
      </w:r>
      <w:r>
        <w:rPr>
          <w:rFonts w:hint="eastAsia" w:ascii="宋体" w:hAnsi="宋体"/>
          <w:sz w:val="28"/>
          <w:szCs w:val="28"/>
          <w:lang w:val="en-US" w:eastAsia="zh-CN"/>
        </w:rPr>
        <w:t>综合楼214办公室</w:t>
      </w:r>
    </w:p>
    <w:p w14:paraId="2FB5809D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九、合同主要条款（以签订的正式文本为准）</w:t>
      </w:r>
    </w:p>
    <w:p w14:paraId="147DB3A4">
      <w:pPr>
        <w:spacing w:line="640" w:lineRule="exact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p w14:paraId="0ED5D236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p w14:paraId="5A80DBC9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p w14:paraId="5AD4EE13">
      <w:pPr>
        <w:spacing w:line="640" w:lineRule="exact"/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攀枝花川发龙蟒新材料有限公司</w:t>
      </w:r>
    </w:p>
    <w:p w14:paraId="63FF42CA">
      <w:pPr>
        <w:spacing w:line="640" w:lineRule="exact"/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 </w:t>
      </w:r>
    </w:p>
    <w:p w14:paraId="1785E490">
      <w:pPr>
        <w:spacing w:line="640" w:lineRule="exact"/>
        <w:ind w:firstLine="560" w:firstLineChars="200"/>
        <w:jc w:val="right"/>
        <w:rPr>
          <w:rFonts w:hint="eastAsia" w:ascii="宋体" w:hAnsi="宋体" w:cs="Times New Roman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202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年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月</w:t>
      </w:r>
      <w:bookmarkStart w:id="2" w:name="_GoBack"/>
      <w:bookmarkEnd w:id="2"/>
      <w:r>
        <w:rPr>
          <w:rFonts w:hint="eastAsia" w:ascii="宋体" w:hAnsi="宋体" w:cs="Times New Roman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日</w:t>
      </w:r>
      <w:bookmarkEnd w:id="1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9FAFDF-7273-4339-B391-DA725BEA0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348A56-040D-4EEB-9A4A-3FE595811F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A8E1505-D9C0-495A-A32C-5143E67FEE0F}"/>
  </w:font>
  <w:font w:name="___WRD_EMBED_SUB_46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C6E837C-5EFC-4EEB-AE29-A05CD018A93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49C71B50-A7A5-48A2-B9EA-63D6DAB0F8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B235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C354D25"/>
    <w:multiLevelType w:val="singleLevel"/>
    <w:tmpl w:val="9C354D2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547D"/>
    <w:rsid w:val="0056772C"/>
    <w:rsid w:val="00571266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18F7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2325"/>
    <w:rsid w:val="008F7615"/>
    <w:rsid w:val="009025E3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5B60"/>
    <w:rsid w:val="00AC65ED"/>
    <w:rsid w:val="00AD3AFE"/>
    <w:rsid w:val="00AD3EA1"/>
    <w:rsid w:val="00AD3F7D"/>
    <w:rsid w:val="00AD68A8"/>
    <w:rsid w:val="00AE369A"/>
    <w:rsid w:val="00AF2086"/>
    <w:rsid w:val="00B01FFC"/>
    <w:rsid w:val="00B11EA4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E5B1C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13DAC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A83FFF"/>
    <w:rsid w:val="0E470EE6"/>
    <w:rsid w:val="0E572A24"/>
    <w:rsid w:val="0EA01CFB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177586"/>
    <w:rsid w:val="14603B71"/>
    <w:rsid w:val="14F24802"/>
    <w:rsid w:val="151F2176"/>
    <w:rsid w:val="15870A9F"/>
    <w:rsid w:val="15A458D4"/>
    <w:rsid w:val="16797E6D"/>
    <w:rsid w:val="172B4960"/>
    <w:rsid w:val="173776E5"/>
    <w:rsid w:val="174B5F79"/>
    <w:rsid w:val="17B57DEA"/>
    <w:rsid w:val="181708FC"/>
    <w:rsid w:val="184E4D3B"/>
    <w:rsid w:val="197C5692"/>
    <w:rsid w:val="19EE5C76"/>
    <w:rsid w:val="1A7D1310"/>
    <w:rsid w:val="1B3B50B2"/>
    <w:rsid w:val="1C465D2D"/>
    <w:rsid w:val="1C49323C"/>
    <w:rsid w:val="1CA61184"/>
    <w:rsid w:val="1CBC4E84"/>
    <w:rsid w:val="1DE17E96"/>
    <w:rsid w:val="1E074473"/>
    <w:rsid w:val="1E500E1D"/>
    <w:rsid w:val="1E733786"/>
    <w:rsid w:val="1EF731D1"/>
    <w:rsid w:val="1F204462"/>
    <w:rsid w:val="21FE6D89"/>
    <w:rsid w:val="22133D3F"/>
    <w:rsid w:val="22686DB9"/>
    <w:rsid w:val="23641C52"/>
    <w:rsid w:val="23685580"/>
    <w:rsid w:val="24046325"/>
    <w:rsid w:val="246D36B3"/>
    <w:rsid w:val="24B356FC"/>
    <w:rsid w:val="256D2F0B"/>
    <w:rsid w:val="25A95CFC"/>
    <w:rsid w:val="25AD29D7"/>
    <w:rsid w:val="26DF7355"/>
    <w:rsid w:val="27BC3340"/>
    <w:rsid w:val="27F26DB6"/>
    <w:rsid w:val="27F45C77"/>
    <w:rsid w:val="27F80FA8"/>
    <w:rsid w:val="28B13EEE"/>
    <w:rsid w:val="28B9676E"/>
    <w:rsid w:val="28F70356"/>
    <w:rsid w:val="296C3771"/>
    <w:rsid w:val="2A1E4FD3"/>
    <w:rsid w:val="2A255E10"/>
    <w:rsid w:val="2AB36462"/>
    <w:rsid w:val="2B082ECF"/>
    <w:rsid w:val="2B3E07A7"/>
    <w:rsid w:val="2B4A1A5C"/>
    <w:rsid w:val="2B4A2752"/>
    <w:rsid w:val="2B650F8B"/>
    <w:rsid w:val="2BD13751"/>
    <w:rsid w:val="2D7E0028"/>
    <w:rsid w:val="2D7F5B73"/>
    <w:rsid w:val="2D9D4615"/>
    <w:rsid w:val="2DB80690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4741C3F"/>
    <w:rsid w:val="35043E3D"/>
    <w:rsid w:val="3513613B"/>
    <w:rsid w:val="351D4050"/>
    <w:rsid w:val="3590358E"/>
    <w:rsid w:val="35C10191"/>
    <w:rsid w:val="3613672A"/>
    <w:rsid w:val="365969FB"/>
    <w:rsid w:val="369E54F7"/>
    <w:rsid w:val="36D46E6B"/>
    <w:rsid w:val="36F63CBC"/>
    <w:rsid w:val="37197A68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3257B7"/>
    <w:rsid w:val="4253072D"/>
    <w:rsid w:val="42BA1E87"/>
    <w:rsid w:val="43F61C66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17462"/>
    <w:rsid w:val="5AAC7162"/>
    <w:rsid w:val="5AEB727F"/>
    <w:rsid w:val="5B324C01"/>
    <w:rsid w:val="5BBC6D73"/>
    <w:rsid w:val="5C180330"/>
    <w:rsid w:val="5D524517"/>
    <w:rsid w:val="5DBA5079"/>
    <w:rsid w:val="5E4C6DD8"/>
    <w:rsid w:val="5E6A2F8E"/>
    <w:rsid w:val="5E6E5F7F"/>
    <w:rsid w:val="5F453A0C"/>
    <w:rsid w:val="5FDE7053"/>
    <w:rsid w:val="60230B1A"/>
    <w:rsid w:val="60817B2A"/>
    <w:rsid w:val="612346CF"/>
    <w:rsid w:val="622379DD"/>
    <w:rsid w:val="622E56CE"/>
    <w:rsid w:val="632E056E"/>
    <w:rsid w:val="633167CC"/>
    <w:rsid w:val="63CB1E8B"/>
    <w:rsid w:val="6464024B"/>
    <w:rsid w:val="646478D7"/>
    <w:rsid w:val="657623D6"/>
    <w:rsid w:val="6584299F"/>
    <w:rsid w:val="65AC2BB2"/>
    <w:rsid w:val="66413D34"/>
    <w:rsid w:val="66681DC9"/>
    <w:rsid w:val="66D679AB"/>
    <w:rsid w:val="66F80892"/>
    <w:rsid w:val="679C0C3A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A877EB"/>
    <w:rsid w:val="6BD37588"/>
    <w:rsid w:val="6BDC5ADF"/>
    <w:rsid w:val="6C1E48AF"/>
    <w:rsid w:val="6D515DE9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14A393F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4F177F"/>
    <w:rsid w:val="79830F14"/>
    <w:rsid w:val="79A14AFA"/>
    <w:rsid w:val="79AE611E"/>
    <w:rsid w:val="79EA6789"/>
    <w:rsid w:val="79EE6BC8"/>
    <w:rsid w:val="79F847E3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6"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8"/>
    <w:qFormat/>
    <w:uiPriority w:val="99"/>
    <w:pPr>
      <w:jc w:val="left"/>
    </w:pPr>
    <w:rPr>
      <w:rFonts w:ascii="Times New Roman" w:hAnsi="Times New Roman"/>
      <w:sz w:val="22"/>
    </w:rPr>
  </w:style>
  <w:style w:type="paragraph" w:styleId="7">
    <w:name w:val="Body Text"/>
    <w:basedOn w:val="1"/>
    <w:next w:val="8"/>
    <w:qFormat/>
    <w:locked/>
    <w:uiPriority w:val="0"/>
    <w:pPr>
      <w:spacing w:after="120"/>
    </w:pPr>
  </w:style>
  <w:style w:type="paragraph" w:styleId="8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Indent"/>
    <w:basedOn w:val="1"/>
    <w:next w:val="10"/>
    <w:qFormat/>
    <w:locked/>
    <w:uiPriority w:val="0"/>
    <w:pPr>
      <w:ind w:firstLine="630"/>
    </w:pPr>
    <w:rPr>
      <w:sz w:val="32"/>
      <w:szCs w:val="20"/>
    </w:rPr>
  </w:style>
  <w:style w:type="paragraph" w:styleId="10">
    <w:name w:val="envelope return"/>
    <w:basedOn w:val="1"/>
    <w:qFormat/>
    <w:locked/>
    <w:uiPriority w:val="0"/>
  </w:style>
  <w:style w:type="paragraph" w:styleId="11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5"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6"/>
    <w:next w:val="6"/>
    <w:link w:val="27"/>
    <w:qFormat/>
    <w:uiPriority w:val="99"/>
    <w:rPr>
      <w:b/>
      <w:bCs/>
    </w:rPr>
  </w:style>
  <w:style w:type="paragraph" w:styleId="17">
    <w:name w:val="Body Text First Indent 2"/>
    <w:basedOn w:val="9"/>
    <w:qFormat/>
    <w:locked/>
    <w:uiPriority w:val="99"/>
    <w:pPr>
      <w:spacing w:line="240" w:lineRule="exact"/>
      <w:ind w:firstLine="562" w:firstLineChars="200"/>
    </w:pPr>
  </w:style>
  <w:style w:type="character" w:styleId="20">
    <w:name w:val="annotation reference"/>
    <w:qFormat/>
    <w:uiPriority w:val="99"/>
    <w:rPr>
      <w:rFonts w:cs="Times New Roman"/>
      <w:sz w:val="21"/>
      <w:szCs w:val="21"/>
    </w:rPr>
  </w:style>
  <w:style w:type="paragraph" w:customStyle="1" w:styleId="21">
    <w:name w:val="标题 5（有编号）（绿盟科技）"/>
    <w:basedOn w:val="1"/>
    <w:next w:val="22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23">
    <w:name w:val="页脚 字符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批注框文本 字符"/>
    <w:link w:val="1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文档结构图 字符"/>
    <w:link w:val="5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7">
    <w:name w:val="批注主题 字符"/>
    <w:link w:val="16"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8">
    <w:name w:val="批注文字 字符"/>
    <w:link w:val="6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9">
    <w:name w:val="页眉 字符"/>
    <w:link w:val="15"/>
    <w:qFormat/>
    <w:locked/>
    <w:uiPriority w:val="99"/>
    <w:rPr>
      <w:rFonts w:cs="Times New Roman"/>
      <w:sz w:val="18"/>
      <w:szCs w:val="18"/>
    </w:rPr>
  </w:style>
  <w:style w:type="paragraph" w:customStyle="1" w:styleId="30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qFormat/>
    <w:uiPriority w:val="99"/>
    <w:pPr>
      <w:ind w:firstLine="420" w:firstLineChars="200"/>
    </w:pPr>
  </w:style>
  <w:style w:type="paragraph" w:customStyle="1" w:styleId="35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1861</Words>
  <Characters>2050</Characters>
  <Lines>12</Lines>
  <Paragraphs>3</Paragraphs>
  <TotalTime>0</TotalTime>
  <ScaleCrop>false</ScaleCrop>
  <LinksUpToDate>false</LinksUpToDate>
  <CharactersWithSpaces>2085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再见碳酸饮料</cp:lastModifiedBy>
  <cp:lastPrinted>2022-11-03T04:09:00Z</cp:lastPrinted>
  <dcterms:modified xsi:type="dcterms:W3CDTF">2026-05-13T07:17:46Z</dcterms:modified>
  <dc:title>四川发展xxxxx公司关于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0C831811104340F0AD3B241C54310A45_13</vt:lpwstr>
  </property>
  <property fmtid="{D5CDD505-2E9C-101B-9397-08002B2CF9AE}" pid="4" name="KSOTemplateDocerSaveRecord">
    <vt:lpwstr>eyJoZGlkIjoiN2NjMzk2OTNhMWU2NWY4ZjVmYTg1MTVlZmQzNjYyODAiLCJ1c2VySWQiOiIzNjAzNDg1MjYifQ==</vt:lpwstr>
  </property>
</Properties>
</file>