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242">
      <w:pPr>
        <w:jc w:val="right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bookmarkStart w:id="2" w:name="_GoBack"/>
      <w:r>
        <w:rPr>
          <w:rFonts w:hint="eastAsia" w:ascii="宋体" w:hAnsi="宋体" w:eastAsia="宋体" w:cs="宋体"/>
          <w:bCs/>
          <w:sz w:val="28"/>
          <w:szCs w:val="28"/>
        </w:rPr>
        <w:t xml:space="preserve">   </w:t>
      </w:r>
    </w:p>
    <w:p w14:paraId="2B37C98A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163B8BA0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5684076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B7D9F59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D56E0D0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8FB7058">
      <w:pPr>
        <w:rPr>
          <w:rFonts w:hint="eastAsia" w:ascii="宋体" w:hAnsi="宋体" w:eastAsia="宋体" w:cs="宋体"/>
          <w:b/>
          <w:sz w:val="28"/>
          <w:szCs w:val="28"/>
        </w:rPr>
      </w:pPr>
    </w:p>
    <w:p w14:paraId="21119F49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C1879A7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攀枝花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川发龙蟒新材料有限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公司</w:t>
      </w:r>
    </w:p>
    <w:p w14:paraId="69C3DE93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关于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CFLM-FJXS-202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-00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</w:t>
      </w:r>
    </w:p>
    <w:p w14:paraId="11FFD61C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危险废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物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1EC5ACD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085791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B8278C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75FA6C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B8E2D9B">
      <w:pPr>
        <w:rPr>
          <w:rFonts w:hint="eastAsia" w:ascii="宋体" w:hAnsi="宋体" w:eastAsia="宋体" w:cs="宋体"/>
          <w:sz w:val="28"/>
          <w:szCs w:val="28"/>
        </w:rPr>
      </w:pPr>
    </w:p>
    <w:p w14:paraId="2878832E">
      <w:pPr>
        <w:pStyle w:val="7"/>
        <w:rPr>
          <w:rFonts w:hint="eastAsia" w:ascii="宋体" w:hAnsi="宋体" w:eastAsia="宋体" w:cs="宋体"/>
          <w:sz w:val="28"/>
          <w:szCs w:val="28"/>
        </w:rPr>
      </w:pPr>
    </w:p>
    <w:p w14:paraId="324D3675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572EE990">
      <w:pPr>
        <w:rPr>
          <w:rFonts w:hint="eastAsia" w:ascii="宋体" w:hAnsi="宋体" w:eastAsia="宋体" w:cs="宋体"/>
          <w:sz w:val="28"/>
          <w:szCs w:val="28"/>
        </w:rPr>
      </w:pPr>
    </w:p>
    <w:p w14:paraId="3DC328F5">
      <w:pPr>
        <w:rPr>
          <w:rFonts w:hint="eastAsia" w:ascii="宋体" w:hAnsi="宋体" w:eastAsia="宋体" w:cs="宋体"/>
          <w:sz w:val="28"/>
          <w:szCs w:val="28"/>
        </w:rPr>
      </w:pPr>
    </w:p>
    <w:p w14:paraId="4045BFAE">
      <w:pPr>
        <w:pStyle w:val="35"/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一、处置内容</w:t>
      </w:r>
    </w:p>
    <w:tbl>
      <w:tblPr>
        <w:tblStyle w:val="18"/>
        <w:tblpPr w:leftFromText="180" w:rightFromText="180" w:vertAnchor="text" w:horzAnchor="margin" w:tblpXSpec="center" w:tblpY="90"/>
        <w:tblOverlap w:val="never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022"/>
        <w:gridCol w:w="2163"/>
        <w:gridCol w:w="835"/>
        <w:gridCol w:w="991"/>
        <w:gridCol w:w="2073"/>
      </w:tblGrid>
      <w:tr w14:paraId="63D2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C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9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D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规格型号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0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2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2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竞买含税底价</w:t>
            </w:r>
          </w:p>
          <w:p w14:paraId="0353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（单价/元）</w:t>
            </w:r>
          </w:p>
        </w:tc>
      </w:tr>
      <w:tr w14:paraId="0212F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3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6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实验室废液及其包装空桶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85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HW49 900-047-49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78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2.0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5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-4000.00</w:t>
            </w:r>
          </w:p>
        </w:tc>
      </w:tr>
      <w:tr w14:paraId="7D98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F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4C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净化过程产生的活性炭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EE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HW49 </w:t>
            </w:r>
          </w:p>
          <w:p w14:paraId="10CEC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900-039-49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27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B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3.5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-1800.00</w:t>
            </w:r>
          </w:p>
        </w:tc>
      </w:tr>
      <w:tr w14:paraId="3A42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80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1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沾染化学品的包装材料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81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HW49</w:t>
            </w:r>
          </w:p>
          <w:p w14:paraId="3263C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900-041-49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C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0.5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-1800.00</w:t>
            </w:r>
          </w:p>
        </w:tc>
      </w:tr>
      <w:tr w14:paraId="7F77E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41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B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沾染矿物油的废弃包装物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7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HW08</w:t>
            </w:r>
          </w:p>
          <w:p w14:paraId="34DE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900-249-08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0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0.05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9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-1800.00</w:t>
            </w:r>
          </w:p>
        </w:tc>
      </w:tr>
      <w:tr w14:paraId="116D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BB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66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废机油、废齿轮油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2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HW08</w:t>
            </w:r>
          </w:p>
          <w:p w14:paraId="495E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900-214-08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7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2.4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3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/</w:t>
            </w:r>
          </w:p>
        </w:tc>
      </w:tr>
      <w:tr w14:paraId="1446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AC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D1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过期化学品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F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HW08</w:t>
            </w:r>
          </w:p>
          <w:p w14:paraId="02F15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900-002-03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0A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D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0.05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9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-1800.00</w:t>
            </w:r>
          </w:p>
        </w:tc>
      </w:tr>
      <w:tr w14:paraId="5D83D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1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1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6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F9C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以上数量为预估数量，以实际产生数量为准；</w:t>
            </w:r>
          </w:p>
          <w:p w14:paraId="4195CF4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报价不能超过以上竞买含税低价；</w:t>
            </w:r>
          </w:p>
          <w:p w14:paraId="3275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3、以上危废物资需发标单位付费处置的报价应为负数；需向发标单位付费的报价应为正数。</w:t>
            </w:r>
          </w:p>
        </w:tc>
      </w:tr>
    </w:tbl>
    <w:p w14:paraId="0BD2C813">
      <w:pPr>
        <w:pStyle w:val="35"/>
        <w:spacing w:line="64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328089EB">
      <w:pPr>
        <w:numPr>
          <w:ilvl w:val="0"/>
          <w:numId w:val="4"/>
        </w:num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资格要求及证明材料</w:t>
      </w:r>
    </w:p>
    <w:p w14:paraId="0837DA2F"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须在中华人民共和国境内注册，具备独立承担民事责任的能力</w:t>
      </w:r>
      <w:r>
        <w:rPr>
          <w:rFonts w:hint="eastAsia" w:ascii="宋体" w:hAnsi="宋体" w:eastAsia="宋体" w:cs="宋体"/>
          <w:sz w:val="28"/>
          <w:szCs w:val="28"/>
        </w:rPr>
        <w:t>（若为分公司，需提供总公司相应授权说明）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61BA006F">
      <w:pPr>
        <w:widowControl/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4BD6D90A">
      <w:pPr>
        <w:widowControl/>
        <w:numPr>
          <w:ilvl w:val="0"/>
          <w:numId w:val="5"/>
        </w:numPr>
        <w:spacing w:line="240" w:lineRule="auto"/>
        <w:ind w:firstLine="560" w:firstLineChars="200"/>
        <w:jc w:val="left"/>
        <w:textAlignment w:val="center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资质</w:t>
      </w:r>
      <w:r>
        <w:rPr>
          <w:rFonts w:hint="eastAsia" w:ascii="宋体" w:hAnsi="宋体" w:eastAsia="宋体" w:cs="宋体"/>
          <w:sz w:val="28"/>
          <w:szCs w:val="28"/>
        </w:rPr>
        <w:t>要求：参选单位营业执照经营范围应包含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相应的危险废物经营或者拥有相应的危险废物经营许可证。</w:t>
      </w:r>
    </w:p>
    <w:p w14:paraId="2359BDF9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（三）意向买受人</w:t>
      </w:r>
      <w:r>
        <w:rPr>
          <w:rFonts w:hint="eastAsia" w:ascii="宋体" w:hAnsi="宋体" w:eastAsia="宋体" w:cs="宋体"/>
          <w:sz w:val="28"/>
          <w:szCs w:val="28"/>
        </w:rPr>
        <w:t>须承诺的事项：</w:t>
      </w:r>
    </w:p>
    <w:p w14:paraId="661C99CF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1、具有良好的商业信誉，近一年内（202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1月1日起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72457C34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2、财务状况：具有良好的财务状况和支付能力，受让资金来源合法；</w:t>
      </w:r>
    </w:p>
    <w:p w14:paraId="6EBAD2AB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1030ED06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4、未组成联合体参选；</w:t>
      </w:r>
    </w:p>
    <w:p w14:paraId="24B295FE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810843F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三、限价要求</w:t>
      </w:r>
    </w:p>
    <w:p w14:paraId="63BD60F6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本次最低限价见处置内容</w:t>
      </w:r>
    </w:p>
    <w:p w14:paraId="594AE9A0">
      <w:pPr>
        <w:numPr>
          <w:ilvl w:val="0"/>
          <w:numId w:val="4"/>
        </w:numPr>
        <w:spacing w:line="640" w:lineRule="exact"/>
        <w:ind w:left="0" w:leftChars="0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中标规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则：总价最高价者中选。</w:t>
      </w:r>
    </w:p>
    <w:p w14:paraId="4FFBA151">
      <w:pPr>
        <w:widowControl/>
        <w:spacing w:line="640" w:lineRule="exact"/>
        <w:ind w:firstLine="56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、处置程序</w:t>
      </w:r>
    </w:p>
    <w:p w14:paraId="5D5F5040">
      <w:pPr>
        <w:spacing w:line="64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 xml:space="preserve">本次采用 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其它公开处置方式，具体程序如下：</w:t>
      </w:r>
    </w:p>
    <w:p w14:paraId="58C2E469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（一）各意向买受人通过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电话报名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参与项目，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密封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递交响应文件；</w:t>
      </w:r>
    </w:p>
    <w:p w14:paraId="47C175D2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递交响应文件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时间截止后，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处置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现场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公布报价；</w:t>
      </w:r>
    </w:p>
    <w:p w14:paraId="63D1E5C9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（三）评审委员会对意向买受人进行资格审查；</w:t>
      </w:r>
    </w:p>
    <w:p w14:paraId="4B6F59D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（四）开标、竞价方式： </w:t>
      </w:r>
    </w:p>
    <w:p w14:paraId="3360734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① 若征集到的意向买受人≥3 家，则对按意向买受人按总价由高到 低排序，前三名进入第二轮电话报价，后一轮报价不得低于其对该项目前 一轮的报价;如第二轮报价最高的价格相同，则进行第三轮电话磋商，价 格仍相同，则抽签决定中选人; </w:t>
      </w:r>
    </w:p>
    <w:p w14:paraId="39E4CB3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② 若征集到的意向买受人为两家时，则两家意向买受人全部直接进 入第二轮电话报价，如第二轮报价最高的价格相同，则进行第三轮电话磋 商，价格仍相同，则抽签决定中选人; </w:t>
      </w:r>
    </w:p>
    <w:p w14:paraId="127D75F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③ 处置的废旧物资参与报价仅有 1 家，直接进入第二轮电话报价， </w:t>
      </w:r>
    </w:p>
    <w:p w14:paraId="0773E22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并进行电话磋商，由最终磋商价格(≥第二轮电话报价)与受让方直接签订 </w:t>
      </w:r>
    </w:p>
    <w:p w14:paraId="7FAB438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转让协议。 </w:t>
      </w:r>
    </w:p>
    <w:p w14:paraId="6A61A86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（五）处置评审结束后，处置人将处置评审结果报公司内部决策，通 </w:t>
      </w:r>
    </w:p>
    <w:p w14:paraId="319AB92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过后将结果通知中选人，双方择日签订正式协议。</w:t>
      </w:r>
    </w:p>
    <w:p w14:paraId="2A8DBA43">
      <w:pPr>
        <w:pStyle w:val="7"/>
        <w:spacing w:after="0" w:line="640" w:lineRule="exact"/>
        <w:ind w:firstLine="560" w:firstLineChars="20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五、</w:t>
      </w:r>
      <w:bookmarkStart w:id="0" w:name="_Hlk164062858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处置申请</w:t>
      </w:r>
      <w:bookmarkEnd w:id="0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材料提交</w:t>
      </w:r>
    </w:p>
    <w:p w14:paraId="1A2F5CEE">
      <w:pPr>
        <w:spacing w:line="640" w:lineRule="exact"/>
        <w:ind w:firstLine="280" w:firstLineChars="100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highlight w:val="red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202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分（北京时间）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260CDFF8">
      <w:pPr>
        <w:spacing w:line="640" w:lineRule="exact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（二）处置申请文件递交方式</w:t>
      </w:r>
    </w:p>
    <w:p w14:paraId="56F8E7D6">
      <w:pPr>
        <w:widowControl/>
        <w:spacing w:line="640" w:lineRule="exact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本次文件递交方式采用线下递交，具体如下：</w:t>
      </w:r>
    </w:p>
    <w:p w14:paraId="0CA4C8E8">
      <w:pPr>
        <w:widowControl/>
        <w:spacing w:line="6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文件递交及公开评审地点：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四川省攀枝花市仁和区钒钛西路238号攀枝花</w:t>
      </w:r>
      <w:r>
        <w:rPr>
          <w:rFonts w:hint="eastAsia" w:ascii="宋体" w:hAnsi="宋体" w:eastAsia="宋体" w:cs="宋体"/>
          <w:sz w:val="28"/>
          <w:szCs w:val="28"/>
        </w:rPr>
        <w:t>川发龙蟒新材料有限公司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综合楼214办公室 苏威收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15198146217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如邮寄，请选用顺丰快递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2767A7E1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六、澄清及修改</w:t>
      </w:r>
    </w:p>
    <w:p w14:paraId="4EA0304A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726960A5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202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），但处置人可决定是否采纳申请事项。</w:t>
      </w:r>
    </w:p>
    <w:p w14:paraId="4FBAA950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七、其他</w:t>
      </w:r>
    </w:p>
    <w:p w14:paraId="145F5868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bookmarkStart w:id="1" w:name="_Toc15116"/>
      <w:r>
        <w:rPr>
          <w:rFonts w:hint="eastAsia" w:ascii="宋体" w:hAnsi="宋体" w:eastAsia="宋体" w:cs="宋体"/>
          <w:color w:val="000000"/>
          <w:sz w:val="28"/>
          <w:szCs w:val="28"/>
        </w:rPr>
        <w:t>1、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报价有效期一年，有效期内价格不做调整；</w:t>
      </w:r>
    </w:p>
    <w:p w14:paraId="32B173B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2、中选人应在中选通知书发出之日起七日内与处置人签订处置合同。 </w:t>
      </w:r>
    </w:p>
    <w:p w14:paraId="6226E90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因中选人原因造成逾期未与处置人签订处置合同的，视为自动放弃，不退 </w:t>
      </w:r>
    </w:p>
    <w:p w14:paraId="7517280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还处置保证金； </w:t>
      </w:r>
    </w:p>
    <w:p w14:paraId="118D007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3、中选人未在合同约定时间内支付处置货款或未在合同约定时间内 </w:t>
      </w:r>
    </w:p>
    <w:p w14:paraId="0202B0D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进场执行处置的，视为主动放弃，不退还处置保证金； </w:t>
      </w:r>
    </w:p>
    <w:p w14:paraId="5D66445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4、中选人因不可抗力原因不能履行处置合同，可退还处置保证金； </w:t>
      </w:r>
    </w:p>
    <w:p w14:paraId="59A566A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5、若出现以上情况，处置人可依序与其他中选候选人签订处置合同， </w:t>
      </w:r>
    </w:p>
    <w:p w14:paraId="21F999F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也可以重新组织处置工作。</w:t>
      </w:r>
    </w:p>
    <w:p w14:paraId="1D966993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处置</w:t>
      </w:r>
      <w:r>
        <w:rPr>
          <w:rFonts w:hint="eastAsia" w:ascii="宋体" w:hAnsi="宋体" w:eastAsia="宋体" w:cs="宋体"/>
          <w:sz w:val="28"/>
          <w:szCs w:val="28"/>
        </w:rPr>
        <w:t>联系人</w:t>
      </w:r>
    </w:p>
    <w:p w14:paraId="100DF8F1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苏先生</w:t>
      </w:r>
    </w:p>
    <w:p w14:paraId="5879389D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15198146217</w:t>
      </w:r>
    </w:p>
    <w:p w14:paraId="28438402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四川省攀枝花市仁和区钒钛西路238号攀枝花</w:t>
      </w:r>
      <w:r>
        <w:rPr>
          <w:rFonts w:hint="eastAsia" w:ascii="宋体" w:hAnsi="宋体" w:eastAsia="宋体" w:cs="宋体"/>
          <w:sz w:val="28"/>
          <w:szCs w:val="28"/>
        </w:rPr>
        <w:t>川发龙蟒新材料有限公司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综合楼214办公室</w:t>
      </w:r>
    </w:p>
    <w:p w14:paraId="2FB5809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九、合同主要条款（以签订的正式文本为准）</w:t>
      </w:r>
    </w:p>
    <w:p w14:paraId="147DB3A4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ED5D236">
      <w:pPr>
        <w:pStyle w:val="22"/>
        <w:numPr>
          <w:ilvl w:val="0"/>
          <w:numId w:val="0"/>
        </w:numPr>
        <w:spacing w:line="300" w:lineRule="auto"/>
        <w:rPr>
          <w:rFonts w:hint="eastAsia" w:ascii="宋体" w:hAnsi="宋体" w:eastAsia="宋体" w:cs="宋体"/>
          <w:color w:val="000000"/>
          <w:kern w:val="2"/>
          <w:sz w:val="28"/>
          <w:szCs w:val="28"/>
        </w:rPr>
      </w:pPr>
    </w:p>
    <w:p w14:paraId="5A80DBC9">
      <w:pPr>
        <w:pStyle w:val="22"/>
        <w:numPr>
          <w:ilvl w:val="0"/>
          <w:numId w:val="0"/>
        </w:numPr>
        <w:spacing w:line="300" w:lineRule="auto"/>
        <w:rPr>
          <w:rFonts w:hint="eastAsia" w:ascii="宋体" w:hAnsi="宋体" w:eastAsia="宋体" w:cs="宋体"/>
          <w:color w:val="000000"/>
          <w:kern w:val="2"/>
          <w:sz w:val="28"/>
          <w:szCs w:val="28"/>
        </w:rPr>
      </w:pPr>
    </w:p>
    <w:p w14:paraId="5AD4EE13">
      <w:pPr>
        <w:spacing w:line="64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攀枝花川发龙蟒新材料有限公司</w:t>
      </w:r>
    </w:p>
    <w:p w14:paraId="63FF42CA">
      <w:pPr>
        <w:spacing w:line="64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1785E490">
      <w:pPr>
        <w:spacing w:line="640" w:lineRule="exact"/>
        <w:ind w:firstLine="560" w:firstLineChars="200"/>
        <w:jc w:val="right"/>
        <w:rPr>
          <w:rFonts w:hint="eastAsia" w:ascii="宋体" w:hAnsi="宋体" w:eastAsia="宋体" w:cs="宋体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年4月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bookmarkEnd w:id="1"/>
    </w:p>
    <w:bookmarkEnd w:id="2"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__WRD_EMBED_SUB_46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81CC2016-1026-425C-828C-65578DBAFD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EB235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29679191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C354D25"/>
    <w:multiLevelType w:val="singleLevel"/>
    <w:tmpl w:val="9C354D2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YjBmY2UyMjVkN2MxNDcxYzU3NzA0NTI0Y2EzNzgifQ=="/>
  </w:docVars>
  <w:rsids>
    <w:rsidRoot w:val="00681F43"/>
    <w:rsid w:val="00006CE1"/>
    <w:rsid w:val="00007073"/>
    <w:rsid w:val="00010A09"/>
    <w:rsid w:val="00012A33"/>
    <w:rsid w:val="00012A3D"/>
    <w:rsid w:val="000151BD"/>
    <w:rsid w:val="00015F96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A29EE"/>
    <w:rsid w:val="000B3FFA"/>
    <w:rsid w:val="000C5869"/>
    <w:rsid w:val="000C7F4B"/>
    <w:rsid w:val="000E2065"/>
    <w:rsid w:val="000E6CE3"/>
    <w:rsid w:val="000E7C46"/>
    <w:rsid w:val="000F226A"/>
    <w:rsid w:val="000F5F07"/>
    <w:rsid w:val="000F6431"/>
    <w:rsid w:val="000F643F"/>
    <w:rsid w:val="000F724E"/>
    <w:rsid w:val="00103E28"/>
    <w:rsid w:val="00110784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D35FE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182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53FC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65C5E"/>
    <w:rsid w:val="00367CA4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34F8"/>
    <w:rsid w:val="003E4146"/>
    <w:rsid w:val="003F55FF"/>
    <w:rsid w:val="00400A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7EA"/>
    <w:rsid w:val="004E3CDE"/>
    <w:rsid w:val="004E5E1E"/>
    <w:rsid w:val="004F2733"/>
    <w:rsid w:val="004F6707"/>
    <w:rsid w:val="004F7585"/>
    <w:rsid w:val="00504090"/>
    <w:rsid w:val="00511310"/>
    <w:rsid w:val="00516EC3"/>
    <w:rsid w:val="00520DD4"/>
    <w:rsid w:val="00525AD6"/>
    <w:rsid w:val="00531BB3"/>
    <w:rsid w:val="0053791A"/>
    <w:rsid w:val="00553934"/>
    <w:rsid w:val="005577EE"/>
    <w:rsid w:val="00562896"/>
    <w:rsid w:val="00563002"/>
    <w:rsid w:val="0056547D"/>
    <w:rsid w:val="0056772C"/>
    <w:rsid w:val="00571266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5F7099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499A"/>
    <w:rsid w:val="006964FC"/>
    <w:rsid w:val="006A1C01"/>
    <w:rsid w:val="006A3EDF"/>
    <w:rsid w:val="006A7E46"/>
    <w:rsid w:val="006B49EA"/>
    <w:rsid w:val="006B7D6B"/>
    <w:rsid w:val="006C6A5C"/>
    <w:rsid w:val="006E2FFE"/>
    <w:rsid w:val="006F7520"/>
    <w:rsid w:val="00700A8A"/>
    <w:rsid w:val="00700DFF"/>
    <w:rsid w:val="00701133"/>
    <w:rsid w:val="00704BD9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18F7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A7463"/>
    <w:rsid w:val="008B52E0"/>
    <w:rsid w:val="008D2C31"/>
    <w:rsid w:val="008D76BE"/>
    <w:rsid w:val="008E0D2C"/>
    <w:rsid w:val="008E50D0"/>
    <w:rsid w:val="008E636E"/>
    <w:rsid w:val="008F0CE4"/>
    <w:rsid w:val="008F2325"/>
    <w:rsid w:val="008F7615"/>
    <w:rsid w:val="009025E3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A604F"/>
    <w:rsid w:val="009B722A"/>
    <w:rsid w:val="009C03C9"/>
    <w:rsid w:val="009C63AA"/>
    <w:rsid w:val="009D4422"/>
    <w:rsid w:val="009D6E01"/>
    <w:rsid w:val="009E37E6"/>
    <w:rsid w:val="009E5EF4"/>
    <w:rsid w:val="00A149D3"/>
    <w:rsid w:val="00A158B6"/>
    <w:rsid w:val="00A2296E"/>
    <w:rsid w:val="00A275DE"/>
    <w:rsid w:val="00A31AF5"/>
    <w:rsid w:val="00A41BEA"/>
    <w:rsid w:val="00A42106"/>
    <w:rsid w:val="00A467B5"/>
    <w:rsid w:val="00A46A6D"/>
    <w:rsid w:val="00A60D8B"/>
    <w:rsid w:val="00A61E32"/>
    <w:rsid w:val="00A62180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A7543"/>
    <w:rsid w:val="00AB2A4D"/>
    <w:rsid w:val="00AC5B60"/>
    <w:rsid w:val="00AC65ED"/>
    <w:rsid w:val="00AD3AFE"/>
    <w:rsid w:val="00AD3EA1"/>
    <w:rsid w:val="00AD3F7D"/>
    <w:rsid w:val="00AD68A8"/>
    <w:rsid w:val="00AE369A"/>
    <w:rsid w:val="00AF2086"/>
    <w:rsid w:val="00B01FFC"/>
    <w:rsid w:val="00B11EA4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E5B1C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86099"/>
    <w:rsid w:val="00C879A1"/>
    <w:rsid w:val="00C92A06"/>
    <w:rsid w:val="00CA6513"/>
    <w:rsid w:val="00CA71C9"/>
    <w:rsid w:val="00CB51B9"/>
    <w:rsid w:val="00CC69B7"/>
    <w:rsid w:val="00CD027A"/>
    <w:rsid w:val="00CE6958"/>
    <w:rsid w:val="00D048B1"/>
    <w:rsid w:val="00D07A9D"/>
    <w:rsid w:val="00D107EA"/>
    <w:rsid w:val="00D11605"/>
    <w:rsid w:val="00D13DAC"/>
    <w:rsid w:val="00D2758F"/>
    <w:rsid w:val="00D30F60"/>
    <w:rsid w:val="00D33017"/>
    <w:rsid w:val="00D339BD"/>
    <w:rsid w:val="00D423D5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3C437F"/>
    <w:rsid w:val="01C6128A"/>
    <w:rsid w:val="01D86913"/>
    <w:rsid w:val="030137EC"/>
    <w:rsid w:val="037A282A"/>
    <w:rsid w:val="03EC7079"/>
    <w:rsid w:val="03FB30BF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A83FFF"/>
    <w:rsid w:val="0E470EE6"/>
    <w:rsid w:val="0E572A24"/>
    <w:rsid w:val="0EA01CFB"/>
    <w:rsid w:val="0EDA61D4"/>
    <w:rsid w:val="0FE45093"/>
    <w:rsid w:val="10284692"/>
    <w:rsid w:val="1041395A"/>
    <w:rsid w:val="1153390D"/>
    <w:rsid w:val="12311469"/>
    <w:rsid w:val="12F55023"/>
    <w:rsid w:val="13465DAC"/>
    <w:rsid w:val="13A350FE"/>
    <w:rsid w:val="14177586"/>
    <w:rsid w:val="14603B71"/>
    <w:rsid w:val="14F24802"/>
    <w:rsid w:val="151F2176"/>
    <w:rsid w:val="15870A9F"/>
    <w:rsid w:val="15A458D4"/>
    <w:rsid w:val="16797E6D"/>
    <w:rsid w:val="172B4960"/>
    <w:rsid w:val="173776E5"/>
    <w:rsid w:val="174B5F79"/>
    <w:rsid w:val="17B57DEA"/>
    <w:rsid w:val="181708FC"/>
    <w:rsid w:val="184E4D3B"/>
    <w:rsid w:val="197C5692"/>
    <w:rsid w:val="19EE5C76"/>
    <w:rsid w:val="1A7D1310"/>
    <w:rsid w:val="1C465D2D"/>
    <w:rsid w:val="1C49323C"/>
    <w:rsid w:val="1CA61184"/>
    <w:rsid w:val="1CBC4E84"/>
    <w:rsid w:val="1DAB0EC0"/>
    <w:rsid w:val="1DE17E96"/>
    <w:rsid w:val="1E074473"/>
    <w:rsid w:val="1E500E1D"/>
    <w:rsid w:val="1E733786"/>
    <w:rsid w:val="1EF731D1"/>
    <w:rsid w:val="1F204462"/>
    <w:rsid w:val="21FE6D89"/>
    <w:rsid w:val="22133D3F"/>
    <w:rsid w:val="23641C52"/>
    <w:rsid w:val="23685580"/>
    <w:rsid w:val="24046325"/>
    <w:rsid w:val="246D36B3"/>
    <w:rsid w:val="24B356FC"/>
    <w:rsid w:val="256D2F0B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96C3771"/>
    <w:rsid w:val="2A1E4FD3"/>
    <w:rsid w:val="2A255E10"/>
    <w:rsid w:val="2AB36462"/>
    <w:rsid w:val="2B082ECF"/>
    <w:rsid w:val="2B3E07A7"/>
    <w:rsid w:val="2B4A1A5C"/>
    <w:rsid w:val="2B4A2752"/>
    <w:rsid w:val="2B650F8B"/>
    <w:rsid w:val="2BD13751"/>
    <w:rsid w:val="2D7E0028"/>
    <w:rsid w:val="2D7F5B73"/>
    <w:rsid w:val="2D9D4615"/>
    <w:rsid w:val="2DB80690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4741C3F"/>
    <w:rsid w:val="35043E3D"/>
    <w:rsid w:val="3513613B"/>
    <w:rsid w:val="351D4050"/>
    <w:rsid w:val="3590358E"/>
    <w:rsid w:val="35C10191"/>
    <w:rsid w:val="3613672A"/>
    <w:rsid w:val="365969FB"/>
    <w:rsid w:val="369E54F7"/>
    <w:rsid w:val="36D46E6B"/>
    <w:rsid w:val="36F63CBC"/>
    <w:rsid w:val="37197A68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C4485A"/>
    <w:rsid w:val="3F1935A0"/>
    <w:rsid w:val="3F540722"/>
    <w:rsid w:val="3FEF0CD2"/>
    <w:rsid w:val="402F5FBC"/>
    <w:rsid w:val="40E527FD"/>
    <w:rsid w:val="419606C0"/>
    <w:rsid w:val="41A40456"/>
    <w:rsid w:val="4200564F"/>
    <w:rsid w:val="42185897"/>
    <w:rsid w:val="423257B7"/>
    <w:rsid w:val="4253072D"/>
    <w:rsid w:val="42BA1E87"/>
    <w:rsid w:val="43F61C66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17462"/>
    <w:rsid w:val="5AAC7162"/>
    <w:rsid w:val="5AEB727F"/>
    <w:rsid w:val="5B324C01"/>
    <w:rsid w:val="5BBC6D73"/>
    <w:rsid w:val="5C180330"/>
    <w:rsid w:val="5D524517"/>
    <w:rsid w:val="5DBA5079"/>
    <w:rsid w:val="5E4C6DD8"/>
    <w:rsid w:val="5E6A2F8E"/>
    <w:rsid w:val="5E6E5F7F"/>
    <w:rsid w:val="5F453A0C"/>
    <w:rsid w:val="5FDE7053"/>
    <w:rsid w:val="60230B1A"/>
    <w:rsid w:val="60817B2A"/>
    <w:rsid w:val="612346CF"/>
    <w:rsid w:val="622379DD"/>
    <w:rsid w:val="622E56CE"/>
    <w:rsid w:val="632E056E"/>
    <w:rsid w:val="633167CC"/>
    <w:rsid w:val="63CB1E8B"/>
    <w:rsid w:val="6464024B"/>
    <w:rsid w:val="646478D7"/>
    <w:rsid w:val="657623D6"/>
    <w:rsid w:val="6584299F"/>
    <w:rsid w:val="65AC2BB2"/>
    <w:rsid w:val="66413D34"/>
    <w:rsid w:val="66681DC9"/>
    <w:rsid w:val="66D679AB"/>
    <w:rsid w:val="66F80892"/>
    <w:rsid w:val="679C0C3A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A877EB"/>
    <w:rsid w:val="6BD37588"/>
    <w:rsid w:val="6BDC5ADF"/>
    <w:rsid w:val="6C1E48AF"/>
    <w:rsid w:val="6D515DE9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14A393F"/>
    <w:rsid w:val="72A673BD"/>
    <w:rsid w:val="72CF318F"/>
    <w:rsid w:val="72D31992"/>
    <w:rsid w:val="73B415DB"/>
    <w:rsid w:val="73FE5B51"/>
    <w:rsid w:val="74450E49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4F177F"/>
    <w:rsid w:val="79830F14"/>
    <w:rsid w:val="79A14AFA"/>
    <w:rsid w:val="79AE611E"/>
    <w:rsid w:val="79EA6789"/>
    <w:rsid w:val="79EE6BC8"/>
    <w:rsid w:val="79F847E3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6"/>
    <w:unhideWhenUsed/>
    <w:qFormat/>
    <w:locked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8"/>
    <w:qFormat/>
    <w:uiPriority w:val="99"/>
    <w:pPr>
      <w:jc w:val="left"/>
    </w:pPr>
    <w:rPr>
      <w:rFonts w:ascii="Times New Roman" w:hAnsi="Times New Roman"/>
      <w:sz w:val="22"/>
    </w:rPr>
  </w:style>
  <w:style w:type="paragraph" w:styleId="7">
    <w:name w:val="Body Text"/>
    <w:basedOn w:val="1"/>
    <w:next w:val="8"/>
    <w:qFormat/>
    <w:locked/>
    <w:uiPriority w:val="0"/>
    <w:pPr>
      <w:spacing w:after="120"/>
    </w:pPr>
  </w:style>
  <w:style w:type="paragraph" w:styleId="8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Indent"/>
    <w:basedOn w:val="1"/>
    <w:next w:val="10"/>
    <w:qFormat/>
    <w:locked/>
    <w:uiPriority w:val="0"/>
    <w:pPr>
      <w:ind w:firstLine="630"/>
    </w:pPr>
    <w:rPr>
      <w:sz w:val="32"/>
      <w:szCs w:val="20"/>
    </w:rPr>
  </w:style>
  <w:style w:type="paragraph" w:styleId="10">
    <w:name w:val="envelope return"/>
    <w:basedOn w:val="1"/>
    <w:qFormat/>
    <w:locked/>
    <w:uiPriority w:val="0"/>
  </w:style>
  <w:style w:type="paragraph" w:styleId="11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5"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6"/>
    <w:next w:val="6"/>
    <w:link w:val="27"/>
    <w:qFormat/>
    <w:uiPriority w:val="99"/>
    <w:rPr>
      <w:b/>
      <w:bCs/>
    </w:rPr>
  </w:style>
  <w:style w:type="paragraph" w:styleId="17">
    <w:name w:val="Body Text First Indent 2"/>
    <w:basedOn w:val="9"/>
    <w:qFormat/>
    <w:locked/>
    <w:uiPriority w:val="99"/>
    <w:pPr>
      <w:spacing w:line="240" w:lineRule="exact"/>
      <w:ind w:firstLine="562" w:firstLineChars="200"/>
    </w:pPr>
  </w:style>
  <w:style w:type="character" w:styleId="20">
    <w:name w:val="annotation reference"/>
    <w:qFormat/>
    <w:uiPriority w:val="99"/>
    <w:rPr>
      <w:rFonts w:cs="Times New Roman"/>
      <w:sz w:val="21"/>
      <w:szCs w:val="21"/>
    </w:rPr>
  </w:style>
  <w:style w:type="paragraph" w:customStyle="1" w:styleId="21">
    <w:name w:val="标题 5（有编号）（绿盟科技）"/>
    <w:basedOn w:val="1"/>
    <w:next w:val="22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23">
    <w:name w:val="页脚 字符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批注框文本 字符"/>
    <w:link w:val="1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文档结构图 字符"/>
    <w:link w:val="5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7">
    <w:name w:val="批注主题 字符"/>
    <w:link w:val="16"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8">
    <w:name w:val="批注文字 字符"/>
    <w:link w:val="6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9">
    <w:name w:val="页眉 字符"/>
    <w:link w:val="15"/>
    <w:qFormat/>
    <w:locked/>
    <w:uiPriority w:val="99"/>
    <w:rPr>
      <w:rFonts w:cs="Times New Roman"/>
      <w:sz w:val="18"/>
      <w:szCs w:val="18"/>
    </w:rPr>
  </w:style>
  <w:style w:type="paragraph" w:customStyle="1" w:styleId="30">
    <w:name w:val="p0"/>
    <w:basedOn w:val="1"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正文目录 + 首行缩进:  2 字符 + 首行缩进:  2 字符 + 首行缩进:  2 字符"/>
    <w:basedOn w:val="1"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qFormat/>
    <w:uiPriority w:val="99"/>
    <w:pPr>
      <w:ind w:firstLine="420" w:firstLineChars="200"/>
    </w:pPr>
  </w:style>
  <w:style w:type="paragraph" w:customStyle="1" w:styleId="35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1861</Words>
  <Characters>2050</Characters>
  <Lines>12</Lines>
  <Paragraphs>3</Paragraphs>
  <TotalTime>0</TotalTime>
  <ScaleCrop>false</ScaleCrop>
  <LinksUpToDate>false</LinksUpToDate>
  <CharactersWithSpaces>2085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伍建</cp:lastModifiedBy>
  <cp:lastPrinted>2022-11-03T04:09:00Z</cp:lastPrinted>
  <dcterms:modified xsi:type="dcterms:W3CDTF">2026-04-23T09:19:35Z</dcterms:modified>
  <dc:title>四川发展xxxxx公司关于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0C831811104340F0AD3B241C54310A45_13</vt:lpwstr>
  </property>
  <property fmtid="{D5CDD505-2E9C-101B-9397-08002B2CF9AE}" pid="4" name="KSOTemplateDocerSaveRecord">
    <vt:lpwstr>eyJoZGlkIjoiYjViOTdkOGRkMTYyZDU4ZTdjMDk3ZGYyOGJjY2U3YTEiLCJ1c2VySWQiOiIxNjM4ODA5MTkwIn0=</vt:lpwstr>
  </property>
</Properties>
</file>