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6135EE44">
      <w:pPr>
        <w:widowControl/>
        <w:spacing w:line="560" w:lineRule="exact"/>
        <w:ind w:firstLine="883" w:firstLineChars="20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1" w:name="_GoBack"/>
      <w:r>
        <w:rPr>
          <w:rFonts w:hint="eastAsia" w:ascii="宋体" w:hAnsi="宋体" w:cs="宋体"/>
          <w:b/>
          <w:sz w:val="44"/>
          <w:szCs w:val="44"/>
          <w:lang w:val="en-US" w:eastAsia="zh-CN"/>
        </w:rPr>
        <w:t>四川龙蟒磷化工有限公司</w:t>
      </w:r>
    </w:p>
    <w:bookmarkEnd w:id="1"/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2025-01#B危险废物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10121" w:type="dxa"/>
        <w:tblInd w:w="-3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20"/>
        <w:gridCol w:w="1500"/>
        <w:gridCol w:w="750"/>
        <w:gridCol w:w="795"/>
        <w:gridCol w:w="1410"/>
        <w:gridCol w:w="1351"/>
        <w:gridCol w:w="1855"/>
      </w:tblGrid>
      <w:tr w14:paraId="047B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4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1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5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9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43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AB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竞买含税底价（总价/元）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危废代码</w:t>
            </w:r>
          </w:p>
        </w:tc>
      </w:tr>
      <w:tr w14:paraId="2C5D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9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D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镍触媒（转化一段炉）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主要成分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NiO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6E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3,100.00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B8B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24,800.00 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C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HW46(900-037-46）</w:t>
            </w:r>
          </w:p>
        </w:tc>
      </w:tr>
      <w:tr w14:paraId="2BBD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A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镍触媒（甲烷化炉）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主要成分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NiO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0D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3,100.00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0ED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40,300.00 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B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HW46(900-037-46）</w:t>
            </w:r>
          </w:p>
        </w:tc>
      </w:tr>
      <w:tr w14:paraId="1966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7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氧化锌触媒（脱硫工序）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主要成分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ZnO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3D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3,600.00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0C5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86,400.00 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HW50(261-167-50)</w:t>
            </w:r>
          </w:p>
        </w:tc>
      </w:tr>
      <w:tr w14:paraId="6AFC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3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F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铁触媒（中变炉）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主要成分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Fe2O3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32.00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4D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-2,000.00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2D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-64,000.00 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HW50(261-167-50)</w:t>
            </w:r>
          </w:p>
        </w:tc>
      </w:tr>
      <w:tr w14:paraId="4FE8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A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3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五氧化二钒触媒（硫酸车间）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主要成分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V2O5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82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-1,000.00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C79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-50,000.00 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HW50(261-173-50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/>
          <w:sz w:val="24"/>
          <w:szCs w:val="24"/>
        </w:rPr>
        <w:t>资质要求：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参选单位营业执照经营范围应包含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危险废物经营或者拥有危险废物经营许可证。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74E34EC9">
      <w:pPr>
        <w:widowControl/>
        <w:spacing w:line="560" w:lineRule="exact"/>
        <w:ind w:firstLine="480" w:firstLineChars="200"/>
        <w:jc w:val="right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四川龙蟒磷化工有限公司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bookmarkEnd w:id="0"/>
    <w:p w14:paraId="05402A47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8D1BB5-1F7F-4560-A1A0-302CE1618C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C59EC14D-A3DA-402E-9819-7839F44063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9C18C3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E2605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7E6B81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B83A5B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1735</Words>
  <Characters>1990</Characters>
  <Lines>11</Lines>
  <Paragraphs>3</Paragraphs>
  <TotalTime>0</TotalTime>
  <ScaleCrop>false</ScaleCrop>
  <LinksUpToDate>false</LinksUpToDate>
  <CharactersWithSpaces>2061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2025-02-19T03:22:06Z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eyJoZGlkIjoiYzBmOGYwMGRjYTZkY2QyMGQwZTVmODhiZjgzYzNmY2MiLCJ1c2VySWQiOiIxMDQ4ODc4MTExIn0=</vt:lpwstr>
  </property>
</Properties>
</file>